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6C61" w14:textId="77777777" w:rsidR="00890A9D" w:rsidRDefault="008072C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C1FB2F" wp14:editId="0ACE247A">
            <wp:simplePos x="0" y="0"/>
            <wp:positionH relativeFrom="column">
              <wp:posOffset>1729105</wp:posOffset>
            </wp:positionH>
            <wp:positionV relativeFrom="paragraph">
              <wp:posOffset>182880</wp:posOffset>
            </wp:positionV>
            <wp:extent cx="2210435" cy="1073150"/>
            <wp:effectExtent l="0" t="0" r="0" b="0"/>
            <wp:wrapSquare wrapText="bothSides" distT="0" distB="0" distL="114300" distR="114300"/>
            <wp:docPr id="2" name="image1.png" descr="Obraz zawierający rysune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rysunek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1D762B" w14:textId="77777777" w:rsidR="00890A9D" w:rsidRDefault="00890A9D">
      <w:pPr>
        <w:rPr>
          <w:b/>
          <w:color w:val="000000"/>
          <w:sz w:val="28"/>
          <w:szCs w:val="28"/>
        </w:rPr>
      </w:pPr>
    </w:p>
    <w:p w14:paraId="6B4B1A8C" w14:textId="77777777" w:rsidR="00890A9D" w:rsidRDefault="00890A9D">
      <w:pPr>
        <w:rPr>
          <w:b/>
          <w:color w:val="000000"/>
          <w:sz w:val="28"/>
          <w:szCs w:val="28"/>
        </w:rPr>
      </w:pPr>
    </w:p>
    <w:p w14:paraId="3B465F47" w14:textId="77777777" w:rsidR="00890A9D" w:rsidRDefault="00890A9D">
      <w:pPr>
        <w:rPr>
          <w:b/>
          <w:color w:val="000000"/>
          <w:sz w:val="28"/>
          <w:szCs w:val="28"/>
        </w:rPr>
      </w:pPr>
    </w:p>
    <w:p w14:paraId="15C1E85C" w14:textId="4598034C" w:rsidR="00890A9D" w:rsidRDefault="008072C0">
      <w:pPr>
        <w:jc w:val="right"/>
        <w:rPr>
          <w:highlight w:val="yellow"/>
        </w:rPr>
      </w:pPr>
      <w:r>
        <w:t xml:space="preserve">Kraków, </w:t>
      </w:r>
      <w:r w:rsidR="00EA2679">
        <w:t>22</w:t>
      </w:r>
      <w:r>
        <w:t xml:space="preserve"> </w:t>
      </w:r>
      <w:r w:rsidR="00DC5DDB">
        <w:t>czerwca</w:t>
      </w:r>
      <w:r>
        <w:t xml:space="preserve"> 2020</w:t>
      </w:r>
      <w:r w:rsidR="00DC5DDB">
        <w:t xml:space="preserve">r. </w:t>
      </w:r>
    </w:p>
    <w:p w14:paraId="4AFBC26D" w14:textId="77777777" w:rsidR="00890A9D" w:rsidRDefault="008072C0">
      <w:r>
        <w:t>Informacja Prasowa</w:t>
      </w:r>
    </w:p>
    <w:p w14:paraId="1E38D2A0" w14:textId="77777777" w:rsidR="002455DF" w:rsidRDefault="002455DF" w:rsidP="002455D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Wykluczenie cyfrowe nie idzie na wakacje</w:t>
      </w:r>
    </w:p>
    <w:p w14:paraId="314AC0CB" w14:textId="63B9A799" w:rsidR="00C202BC" w:rsidRDefault="00C202BC" w:rsidP="00C202BC">
      <w:pPr>
        <w:rPr>
          <w:b/>
          <w:highlight w:val="white"/>
        </w:rPr>
      </w:pPr>
      <w:r>
        <w:rPr>
          <w:b/>
          <w:highlight w:val="white"/>
        </w:rPr>
        <w:t xml:space="preserve">Za kilka dni koniec roku szkolnego, ale dla wielu dzieci </w:t>
      </w:r>
      <w:r w:rsidR="00E112F5">
        <w:rPr>
          <w:b/>
          <w:highlight w:val="white"/>
        </w:rPr>
        <w:t xml:space="preserve">i nauczycieli </w:t>
      </w:r>
      <w:r>
        <w:rPr>
          <w:b/>
          <w:highlight w:val="white"/>
        </w:rPr>
        <w:t xml:space="preserve">to nie koniec kłopotów z brakiem odpowiedniego sprzętu. Nie wiadomo czy we wrześniu lekcje wrócą do szkoły. A nawet jeśli tak się stanie to </w:t>
      </w:r>
      <w:r w:rsidR="00E112F5">
        <w:rPr>
          <w:b/>
          <w:highlight w:val="white"/>
        </w:rPr>
        <w:t>brak komputera będzie wciąż sprawiał ich naukę znacznie trudniejszą. Blisko 20%</w:t>
      </w:r>
      <w:r>
        <w:rPr>
          <w:b/>
          <w:highlight w:val="white"/>
        </w:rPr>
        <w:t xml:space="preserve"> gospodarstw domowych w </w:t>
      </w:r>
      <w:r w:rsidR="00E112F5">
        <w:rPr>
          <w:b/>
          <w:highlight w:val="white"/>
        </w:rPr>
        <w:t xml:space="preserve">miastach nie </w:t>
      </w:r>
      <w:r>
        <w:rPr>
          <w:b/>
          <w:highlight w:val="white"/>
        </w:rPr>
        <w:t xml:space="preserve">posiada </w:t>
      </w:r>
      <w:r w:rsidR="00E112F5">
        <w:rPr>
          <w:b/>
          <w:highlight w:val="white"/>
        </w:rPr>
        <w:t xml:space="preserve">żadnego </w:t>
      </w:r>
      <w:r>
        <w:rPr>
          <w:b/>
          <w:highlight w:val="white"/>
        </w:rPr>
        <w:t>urządzeni</w:t>
      </w:r>
      <w:r w:rsidR="00E112F5">
        <w:rPr>
          <w:b/>
          <w:highlight w:val="white"/>
        </w:rPr>
        <w:t>a</w:t>
      </w:r>
      <w:r>
        <w:rPr>
          <w:b/>
          <w:highlight w:val="white"/>
        </w:rPr>
        <w:t xml:space="preserve"> z dostępem do Internetu</w:t>
      </w:r>
      <w:r w:rsidR="00E112F5">
        <w:rPr>
          <w:rStyle w:val="Odwoanieprzypisudolnego"/>
          <w:b/>
          <w:highlight w:val="white"/>
        </w:rPr>
        <w:footnoteReference w:id="1"/>
      </w:r>
      <w:r w:rsidR="00E112F5">
        <w:rPr>
          <w:b/>
          <w:highlight w:val="white"/>
        </w:rPr>
        <w:t>. N</w:t>
      </w:r>
      <w:r>
        <w:rPr>
          <w:b/>
          <w:highlight w:val="white"/>
        </w:rPr>
        <w:t xml:space="preserve">a wsiach </w:t>
      </w:r>
      <w:r w:rsidR="00E112F5">
        <w:rPr>
          <w:b/>
          <w:highlight w:val="white"/>
        </w:rPr>
        <w:t>odsetek ten jest jeszcze większy</w:t>
      </w:r>
      <w:r>
        <w:rPr>
          <w:b/>
          <w:highlight w:val="white"/>
        </w:rPr>
        <w:t xml:space="preserve">. </w:t>
      </w:r>
      <w:r w:rsidR="00F53B05">
        <w:rPr>
          <w:b/>
          <w:highlight w:val="white"/>
        </w:rPr>
        <w:t xml:space="preserve">Na szczęście pojawiają się inicjatywy, które pomagają walczyć z wykluczeniem cyfrowym. </w:t>
      </w:r>
      <w:r w:rsidR="00E112F5">
        <w:rPr>
          <w:b/>
          <w:highlight w:val="white"/>
        </w:rPr>
        <w:t xml:space="preserve">W Krakowie działa akcja </w:t>
      </w:r>
      <w:hyperlink r:id="rId9" w:history="1">
        <w:r w:rsidRPr="00E112F5">
          <w:rPr>
            <w:rStyle w:val="Hipercze"/>
            <w:b/>
            <w:highlight w:val="white"/>
          </w:rPr>
          <w:t>#DajżeKompa</w:t>
        </w:r>
      </w:hyperlink>
      <w:r w:rsidR="00F53B05">
        <w:rPr>
          <w:b/>
          <w:highlight w:val="white"/>
        </w:rPr>
        <w:t xml:space="preserve">, która </w:t>
      </w:r>
      <w:r w:rsidR="00E112F5">
        <w:rPr>
          <w:b/>
          <w:highlight w:val="white"/>
        </w:rPr>
        <w:t>nie zwalnia</w:t>
      </w:r>
      <w:r w:rsidR="00F53B05">
        <w:rPr>
          <w:b/>
          <w:highlight w:val="white"/>
        </w:rPr>
        <w:t xml:space="preserve"> w wakacje</w:t>
      </w:r>
      <w:r w:rsidR="00E112F5">
        <w:rPr>
          <w:b/>
          <w:highlight w:val="white"/>
        </w:rPr>
        <w:t xml:space="preserve">. </w:t>
      </w:r>
      <w:r w:rsidR="005355C2">
        <w:rPr>
          <w:b/>
          <w:highlight w:val="white"/>
        </w:rPr>
        <w:t xml:space="preserve">Organizatorzy szukają firm, które będą dokonywać letnich inwentaryzacji lub wymian sprzętu. </w:t>
      </w:r>
      <w:r w:rsidR="00E112F5">
        <w:rPr>
          <w:b/>
          <w:highlight w:val="white"/>
        </w:rPr>
        <w:t xml:space="preserve">Od wczoraj można </w:t>
      </w:r>
      <w:r w:rsidR="005355C2">
        <w:rPr>
          <w:b/>
          <w:highlight w:val="white"/>
        </w:rPr>
        <w:t>także przekazać</w:t>
      </w:r>
      <w:r w:rsidR="00E112F5">
        <w:rPr>
          <w:b/>
          <w:highlight w:val="white"/>
        </w:rPr>
        <w:t xml:space="preserve"> pieniądze przez portal </w:t>
      </w:r>
      <w:hyperlink r:id="rId10" w:history="1">
        <w:r w:rsidR="00E112F5" w:rsidRPr="00E112F5">
          <w:rPr>
            <w:rStyle w:val="Hipercze"/>
            <w:b/>
            <w:highlight w:val="white"/>
          </w:rPr>
          <w:t>zr</w:t>
        </w:r>
        <w:r w:rsidR="00E112F5" w:rsidRPr="00E112F5">
          <w:rPr>
            <w:rStyle w:val="Hipercze"/>
            <w:b/>
            <w:highlight w:val="white"/>
          </w:rPr>
          <w:t>zutka.pl</w:t>
        </w:r>
      </w:hyperlink>
      <w:r w:rsidR="00E112F5">
        <w:rPr>
          <w:b/>
          <w:highlight w:val="white"/>
        </w:rPr>
        <w:t>.</w:t>
      </w:r>
    </w:p>
    <w:p w14:paraId="4A235739" w14:textId="77777777" w:rsidR="005355C2" w:rsidRDefault="005355C2" w:rsidP="005355C2">
      <w:pPr>
        <w:rPr>
          <w:b/>
          <w:highlight w:val="white"/>
        </w:rPr>
      </w:pPr>
      <w:r>
        <w:rPr>
          <w:b/>
          <w:highlight w:val="white"/>
        </w:rPr>
        <w:t>Dzieci mają wakacje, ale niedługo wrócą do nauki</w:t>
      </w:r>
    </w:p>
    <w:p w14:paraId="7CA894BB" w14:textId="5669333F" w:rsidR="005355C2" w:rsidRDefault="005355C2" w:rsidP="005355C2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Ciężko jest przewidzieć jakie losy czekają uczniów i nauczycieli we wrześniu. Czy wszyscy wrócą do nauczania stacjonarnego w szkołach czy okres zdalnej nauki wydłuży się na kolejne miesiące? Bez względu na sytuację trzeba zrobić wszystko, aby jak najlepiej przygotować się do e-learningu, a także pomóc tym rodzinom, które zmagają się na co dzień z wykluczeniem cyfrowym. </w:t>
      </w:r>
      <w:r>
        <w:t xml:space="preserve">Według danych </w:t>
      </w:r>
      <w:hyperlink r:id="rId11" w:history="1">
        <w:r>
          <w:rPr>
            <w:rStyle w:val="Hipercze"/>
            <w:color w:val="0000FF"/>
          </w:rPr>
          <w:t>Centrum Cyfrowego</w:t>
        </w:r>
      </w:hyperlink>
      <w:r>
        <w:t xml:space="preserve"> tysiące dzieci nie ma odpowiedniego sprzętu w ogóle. Co czwarte dziecko w Polsce musi współdzielić sprzęt z innymi domownikami, a to </w:t>
      </w:r>
      <w:r w:rsidR="007E2B04">
        <w:t>jest</w:t>
      </w:r>
      <w:r>
        <w:t xml:space="preserve"> dużym utrudnieniem w momencie przeniesienia pracy i szkoły do domów. W wielu przypadkach jeden komputer musi</w:t>
      </w:r>
      <w:r w:rsidR="007E2B04">
        <w:t xml:space="preserve"> </w:t>
      </w:r>
      <w:r>
        <w:t>wystarczyć dla uczącego się rodzeństwa, a także pracujących rodziców. To, co jest pewne po kilku miesiącach nowego nauczania to fakt, że problem nie wygasa i mimo nadchodzących wakacji nadal nie można zwalniać tempa w pozyskiwaniu sprzętu dla uczniów.</w:t>
      </w:r>
      <w:r w:rsidR="007E2B04"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Taki cel postawiła przed sobą akcja #DajżeKompa, która </w:t>
      </w:r>
      <w:r w:rsidR="007E2B04">
        <w:rPr>
          <w:rStyle w:val="normaltextrun"/>
          <w:color w:val="000000"/>
          <w:shd w:val="clear" w:color="auto" w:fill="FFFFFF"/>
        </w:rPr>
        <w:t xml:space="preserve">przekazuje używane komputery dzieciom i nauczycielom </w:t>
      </w:r>
      <w:r>
        <w:rPr>
          <w:rStyle w:val="normaltextrun"/>
          <w:color w:val="000000"/>
          <w:shd w:val="clear" w:color="auto" w:fill="FFFFFF"/>
        </w:rPr>
        <w:t xml:space="preserve">w Krakowie. </w:t>
      </w:r>
    </w:p>
    <w:p w14:paraId="7A2ACA9B" w14:textId="101F15F7" w:rsidR="001E0BFC" w:rsidRDefault="001E0BFC">
      <w:pPr>
        <w:rPr>
          <w:rStyle w:val="normaltextrun"/>
          <w:color w:val="000000"/>
          <w:shd w:val="clear" w:color="auto" w:fill="FFFFFF"/>
        </w:rPr>
      </w:pPr>
      <w:r w:rsidRPr="001E0BFC">
        <w:rPr>
          <w:rStyle w:val="normaltextrun"/>
          <w:i/>
          <w:iCs/>
          <w:color w:val="000000"/>
          <w:shd w:val="clear" w:color="auto" w:fill="FFFFFF"/>
        </w:rPr>
        <w:t xml:space="preserve">– Listę dzieci weryfikujemy z dyrektorami krakowskich placówek oświatowych, dzięki czemu mogą Państwo być pewni, że przekazany sprzęt trafia w odpowiednie ręce. Do tej pory udało nam się uzyskać około 400 komputerów i to świetnie, ale fakt, że w bazie mamy jeszcze </w:t>
      </w:r>
      <w:r w:rsidR="00EA2679">
        <w:rPr>
          <w:rStyle w:val="normaltextrun"/>
          <w:i/>
          <w:iCs/>
          <w:color w:val="000000"/>
          <w:shd w:val="clear" w:color="auto" w:fill="FFFFFF"/>
        </w:rPr>
        <w:t>blisko</w:t>
      </w:r>
      <w:r w:rsidRPr="001E0BFC">
        <w:rPr>
          <w:rStyle w:val="normaltextrun"/>
          <w:i/>
          <w:iCs/>
          <w:color w:val="000000"/>
          <w:shd w:val="clear" w:color="auto" w:fill="FFFFFF"/>
        </w:rPr>
        <w:t xml:space="preserve"> 1000 próśb o wsparcie pokazuje, że potrzeby są ogromne. Chcemy zrobić wszystko, aby po wakacjach uczniowie nie odczuli braku komputerów do nauki, nie tylko w przypadku nauki online, jeśli placówki pozostaną zamknięte, ale choćby do odrabiania zadań domowych, gdy dzieci wrócą do szkolnych ławek. Wraz ze wszystkimi współorganizatorami podjęliśmy decyzję, żeby w lipcu i sierpniu skupić się na zapewnieniu </w:t>
      </w:r>
      <w:r w:rsidRPr="001E0BFC">
        <w:rPr>
          <w:rStyle w:val="normaltextrun"/>
          <w:i/>
          <w:iCs/>
          <w:color w:val="000000"/>
          <w:shd w:val="clear" w:color="auto" w:fill="FFFFFF"/>
        </w:rPr>
        <w:lastRenderedPageBreak/>
        <w:t>komputerów dla pozostałych osób, które się do nas zgłosiły</w:t>
      </w:r>
      <w:r w:rsidRPr="001E0BFC">
        <w:rPr>
          <w:rStyle w:val="normaltextrun"/>
          <w:color w:val="000000"/>
          <w:shd w:val="clear" w:color="auto" w:fill="FFFFFF"/>
        </w:rPr>
        <w:t xml:space="preserve"> – mówi Agnieszka </w:t>
      </w:r>
      <w:proofErr w:type="spellStart"/>
      <w:r w:rsidRPr="001E0BFC">
        <w:rPr>
          <w:rStyle w:val="normaltextrun"/>
          <w:color w:val="000000"/>
          <w:shd w:val="clear" w:color="auto" w:fill="FFFFFF"/>
        </w:rPr>
        <w:t>Pleti</w:t>
      </w:r>
      <w:proofErr w:type="spellEnd"/>
      <w:r w:rsidRPr="001E0BFC">
        <w:rPr>
          <w:rStyle w:val="normaltextrun"/>
          <w:color w:val="000000"/>
          <w:shd w:val="clear" w:color="auto" w:fill="FFFFFF"/>
        </w:rPr>
        <w:t>, prezes Fundacji Poland Business Run, patronującej akcji #DajżeKompa.</w:t>
      </w:r>
    </w:p>
    <w:p w14:paraId="4C8A7547" w14:textId="0DEA8CDE" w:rsidR="00890A9D" w:rsidRDefault="009605C8">
      <w:pPr>
        <w:rPr>
          <w:b/>
          <w:color w:val="000000"/>
        </w:rPr>
      </w:pPr>
      <w:r w:rsidRPr="00744C13">
        <w:rPr>
          <w:b/>
          <w:color w:val="000000"/>
        </w:rPr>
        <w:t>N</w:t>
      </w:r>
      <w:r w:rsidR="005355C2">
        <w:rPr>
          <w:b/>
          <w:color w:val="000000"/>
        </w:rPr>
        <w:t>ie wyrzucaj sprzętu do śmieci</w:t>
      </w:r>
      <w:r w:rsidR="00701B29">
        <w:rPr>
          <w:b/>
          <w:color w:val="000000"/>
        </w:rPr>
        <w:t>…</w:t>
      </w:r>
    </w:p>
    <w:p w14:paraId="46C142BE" w14:textId="18A44974" w:rsidR="009605C8" w:rsidRDefault="007E2B04" w:rsidP="009605C8">
      <w:pPr>
        <w:rPr>
          <w:bCs/>
          <w:color w:val="000000"/>
        </w:rPr>
      </w:pPr>
      <w:r>
        <w:t xml:space="preserve">Wielu dotychczasowych darczyńców akcji #DajżeKompa to firmy. Niektóre z nich po dokonaniu inwentaryzacji sprzętu przekazało kilka sztuk na potrzeby </w:t>
      </w:r>
      <w:r w:rsidR="00F53B05">
        <w:t>inicjatywy</w:t>
      </w:r>
      <w:r>
        <w:t xml:space="preserve">. Były jednak też takie, jak np. krakowski oddział firmy </w:t>
      </w:r>
      <w:proofErr w:type="spellStart"/>
      <w:r>
        <w:t>Luxoft</w:t>
      </w:r>
      <w:proofErr w:type="spellEnd"/>
      <w:r>
        <w:t>, który przekazał 100 komputerów. Wiele firm wymienia regularnie sprzęt pracowników</w:t>
      </w:r>
      <w:r w:rsidR="006649AD">
        <w:rPr>
          <w:bCs/>
          <w:color w:val="000000"/>
        </w:rPr>
        <w:t xml:space="preserve"> i pozbywa się starszych modeli. </w:t>
      </w:r>
      <w:r>
        <w:rPr>
          <w:bCs/>
          <w:color w:val="000000"/>
        </w:rPr>
        <w:t>Niejednokrotnie urządzenia te trafiają do utylizacji, gdy tymczasem mogłyby posłużyć dzieciom</w:t>
      </w:r>
      <w:r w:rsidR="006649AD">
        <w:rPr>
          <w:bCs/>
          <w:color w:val="000000"/>
        </w:rPr>
        <w:t xml:space="preserve">. </w:t>
      </w:r>
    </w:p>
    <w:p w14:paraId="6EBC4D5E" w14:textId="301707E6" w:rsidR="00701B29" w:rsidRDefault="001E0BFC" w:rsidP="009605C8">
      <w:pPr>
        <w:rPr>
          <w:bCs/>
          <w:color w:val="000000"/>
        </w:rPr>
      </w:pPr>
      <w:r w:rsidRPr="001E0BFC">
        <w:rPr>
          <w:bCs/>
          <w:i/>
          <w:iCs/>
          <w:color w:val="000000"/>
        </w:rPr>
        <w:t>– Jeśli planujecie wymianę sprzętu w Waszej firmie lub instytucji – nie wyrzucajcie go na śmietnik. Jeśli jest wciąż sprawny i nadaje się do prostych zadań związanych z nauką online, zróbcie dobry uczynek i przekażcie go nam. Zadbamy, by trafił do potrzebujących dzieci</w:t>
      </w:r>
      <w:r w:rsidRPr="001E0BFC">
        <w:rPr>
          <w:bCs/>
          <w:color w:val="000000"/>
        </w:rPr>
        <w:t xml:space="preserve"> –</w:t>
      </w:r>
      <w:r>
        <w:rPr>
          <w:bCs/>
          <w:color w:val="000000"/>
        </w:rPr>
        <w:t xml:space="preserve"> </w:t>
      </w:r>
      <w:r w:rsidR="009605C8">
        <w:rPr>
          <w:bCs/>
          <w:color w:val="000000"/>
        </w:rPr>
        <w:t xml:space="preserve">apeluje Agnieszka </w:t>
      </w:r>
      <w:proofErr w:type="spellStart"/>
      <w:r w:rsidR="009605C8">
        <w:rPr>
          <w:bCs/>
          <w:color w:val="000000"/>
        </w:rPr>
        <w:t>Pleti</w:t>
      </w:r>
      <w:proofErr w:type="spellEnd"/>
      <w:r w:rsidR="009605C8">
        <w:rPr>
          <w:bCs/>
          <w:color w:val="000000"/>
        </w:rPr>
        <w:t>.</w:t>
      </w:r>
    </w:p>
    <w:p w14:paraId="05FE3212" w14:textId="226DD992" w:rsidR="00F53B05" w:rsidRDefault="00F53B05" w:rsidP="009605C8">
      <w:pPr>
        <w:rPr>
          <w:bCs/>
          <w:color w:val="000000"/>
        </w:rPr>
      </w:pPr>
      <w:r>
        <w:rPr>
          <w:bCs/>
          <w:color w:val="000000"/>
        </w:rPr>
        <w:t xml:space="preserve">Wiele firm utylizuje komputery, gdyż boją się konieczności zapłacenia podatku, w sytuacji gdyby przekazali go potrzebującym. Organizatorzy #DajżeKompa, w porozumieniu z doradcą prawnym, firmą SSW </w:t>
      </w:r>
      <w:proofErr w:type="spellStart"/>
      <w:r>
        <w:rPr>
          <w:bCs/>
          <w:color w:val="000000"/>
        </w:rPr>
        <w:t>Pragmatic</w:t>
      </w:r>
      <w:proofErr w:type="spellEnd"/>
      <w:r>
        <w:rPr>
          <w:bCs/>
          <w:color w:val="000000"/>
        </w:rPr>
        <w:t xml:space="preserve"> Solutions, zatroszczyli się o analizę przepisów i zaplanowanie procesu przekazywania sprzętu, tak, by darczyńcy nie musieli płacić podatku. </w:t>
      </w:r>
    </w:p>
    <w:p w14:paraId="4E5D88E7" w14:textId="381D01E9" w:rsidR="00C63B32" w:rsidRPr="00C63B32" w:rsidRDefault="00B5287C">
      <w:pPr>
        <w:rPr>
          <w:b/>
          <w:color w:val="000000"/>
        </w:rPr>
      </w:pPr>
      <w:r>
        <w:rPr>
          <w:b/>
          <w:color w:val="000000"/>
        </w:rPr>
        <w:t>Nie musisz mieć komputera do oddania, by</w:t>
      </w:r>
      <w:r w:rsidR="00C63B32" w:rsidRPr="00C63B32">
        <w:rPr>
          <w:b/>
          <w:color w:val="000000"/>
        </w:rPr>
        <w:t xml:space="preserve"> pomóc</w:t>
      </w:r>
    </w:p>
    <w:p w14:paraId="0FC0F16A" w14:textId="2CABC43F" w:rsidR="00F53B05" w:rsidRDefault="00B5287C">
      <w:pPr>
        <w:rPr>
          <w:bCs/>
          <w:color w:val="000000"/>
        </w:rPr>
      </w:pPr>
      <w:r>
        <w:rPr>
          <w:bCs/>
          <w:color w:val="000000"/>
        </w:rPr>
        <w:t xml:space="preserve">Wiele osób i firm nie posiada sprzętu, a mimo to chce pomóc. Teraz można to zrobić wpłacając pieniądze przez portal </w:t>
      </w:r>
      <w:hyperlink r:id="rId12" w:history="1">
        <w:r w:rsidRPr="00B5287C">
          <w:rPr>
            <w:rStyle w:val="Hipercze"/>
            <w:bCs/>
          </w:rPr>
          <w:t>zrzutka.pl</w:t>
        </w:r>
      </w:hyperlink>
      <w:r>
        <w:rPr>
          <w:bCs/>
          <w:color w:val="000000"/>
        </w:rPr>
        <w:t>.</w:t>
      </w:r>
      <w:r w:rsidR="00C63B32">
        <w:rPr>
          <w:bCs/>
          <w:color w:val="000000"/>
        </w:rPr>
        <w:t xml:space="preserve"> </w:t>
      </w:r>
      <w:r>
        <w:rPr>
          <w:bCs/>
          <w:color w:val="000000"/>
        </w:rPr>
        <w:t>K</w:t>
      </w:r>
      <w:r w:rsidR="00C63B32">
        <w:rPr>
          <w:bCs/>
          <w:color w:val="000000"/>
        </w:rPr>
        <w:t xml:space="preserve">ażdy może wesprzeć inicjatywę </w:t>
      </w:r>
      <w:r w:rsidR="00C63B32" w:rsidRPr="00B5287C">
        <w:rPr>
          <w:bCs/>
          <w:color w:val="000000"/>
        </w:rPr>
        <w:t xml:space="preserve">nawet </w:t>
      </w:r>
      <w:r w:rsidRPr="00B5287C">
        <w:rPr>
          <w:bCs/>
          <w:color w:val="000000"/>
        </w:rPr>
        <w:t xml:space="preserve">małą </w:t>
      </w:r>
      <w:r w:rsidR="00C63B32" w:rsidRPr="00B5287C">
        <w:rPr>
          <w:bCs/>
          <w:color w:val="000000"/>
        </w:rPr>
        <w:t xml:space="preserve">kwotą, która przyczyni się do kosztów serwisowania sprzętu. </w:t>
      </w:r>
      <w:r w:rsidR="00FB580E" w:rsidRPr="00B5287C">
        <w:rPr>
          <w:bCs/>
          <w:color w:val="000000"/>
        </w:rPr>
        <w:t xml:space="preserve">Pierwsza zbiórka ma na celu pozyskanie </w:t>
      </w:r>
      <w:r w:rsidRPr="00744C13">
        <w:rPr>
          <w:bCs/>
          <w:color w:val="000000"/>
        </w:rPr>
        <w:t xml:space="preserve">10 000 </w:t>
      </w:r>
      <w:r w:rsidR="00FB580E" w:rsidRPr="00744C13">
        <w:rPr>
          <w:bCs/>
          <w:color w:val="000000"/>
        </w:rPr>
        <w:t>zł</w:t>
      </w:r>
      <w:r>
        <w:rPr>
          <w:bCs/>
          <w:color w:val="000000"/>
        </w:rPr>
        <w:t xml:space="preserve">. Za każde wpłacone </w:t>
      </w:r>
      <w:r w:rsidRPr="00B5287C">
        <w:rPr>
          <w:bCs/>
          <w:color w:val="000000"/>
        </w:rPr>
        <w:t>25</w:t>
      </w:r>
      <w:r>
        <w:rPr>
          <w:bCs/>
          <w:color w:val="000000"/>
        </w:rPr>
        <w:t xml:space="preserve"> zł</w:t>
      </w:r>
      <w:r w:rsidRPr="00B5287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organizatorzy </w:t>
      </w:r>
      <w:r w:rsidRPr="00B5287C">
        <w:rPr>
          <w:bCs/>
          <w:color w:val="000000"/>
        </w:rPr>
        <w:t>będ</w:t>
      </w:r>
      <w:r>
        <w:rPr>
          <w:bCs/>
          <w:color w:val="000000"/>
        </w:rPr>
        <w:t>ą</w:t>
      </w:r>
      <w:r w:rsidRPr="00B5287C">
        <w:rPr>
          <w:bCs/>
          <w:color w:val="000000"/>
        </w:rPr>
        <w:t xml:space="preserve"> mogli</w:t>
      </w:r>
      <w:r>
        <w:rPr>
          <w:bCs/>
          <w:color w:val="000000"/>
        </w:rPr>
        <w:t xml:space="preserve"> np.</w:t>
      </w:r>
      <w:r w:rsidRPr="00B5287C">
        <w:rPr>
          <w:bCs/>
          <w:color w:val="000000"/>
        </w:rPr>
        <w:t xml:space="preserve"> kupić brakującą kartę sieciową, za 50</w:t>
      </w:r>
      <w:r>
        <w:rPr>
          <w:bCs/>
          <w:color w:val="000000"/>
        </w:rPr>
        <w:t xml:space="preserve"> zł -</w:t>
      </w:r>
      <w:r w:rsidRPr="00B5287C">
        <w:rPr>
          <w:bCs/>
          <w:color w:val="000000"/>
        </w:rPr>
        <w:t xml:space="preserve"> zasilacz do laptopa, za 100</w:t>
      </w:r>
      <w:r>
        <w:rPr>
          <w:bCs/>
          <w:color w:val="000000"/>
        </w:rPr>
        <w:t xml:space="preserve"> zł</w:t>
      </w:r>
      <w:r w:rsidRPr="00B5287C">
        <w:rPr>
          <w:bCs/>
          <w:color w:val="000000"/>
        </w:rPr>
        <w:t xml:space="preserve"> pamięć RAM.</w:t>
      </w:r>
      <w:r>
        <w:rPr>
          <w:bCs/>
          <w:color w:val="000000"/>
        </w:rPr>
        <w:t xml:space="preserve"> Potrzebne są też dyski twarde i licencje na oprogramowanie. </w:t>
      </w:r>
      <w:r w:rsidR="00FB580E">
        <w:rPr>
          <w:bCs/>
          <w:color w:val="000000"/>
        </w:rPr>
        <w:t>Wspierając zbiórkę każdy przyczynia się do finansowania konkretnych części wymaganych do stworzenia pełnego, sprawnego, spełniającego warunki nauki on-line zestawu komputerowego.</w:t>
      </w:r>
    </w:p>
    <w:p w14:paraId="727DFD34" w14:textId="20B1499C" w:rsidR="002A5C94" w:rsidRPr="00701B29" w:rsidRDefault="006E5E6A">
      <w:pPr>
        <w:rPr>
          <w:bCs/>
          <w:color w:val="000000"/>
        </w:rPr>
      </w:pPr>
      <w:r>
        <w:rPr>
          <w:bCs/>
          <w:color w:val="000000"/>
        </w:rPr>
        <w:t xml:space="preserve">Mimo końcówki roku szkolnego, potrzeby nie maleją. </w:t>
      </w:r>
      <w:r w:rsidR="00B65420">
        <w:rPr>
          <w:bCs/>
          <w:color w:val="000000"/>
        </w:rPr>
        <w:t xml:space="preserve">Nie wiemy </w:t>
      </w:r>
      <w:r w:rsidR="00FB580E">
        <w:rPr>
          <w:bCs/>
          <w:color w:val="000000"/>
        </w:rPr>
        <w:t xml:space="preserve">czy uczniowie wrócą do </w:t>
      </w:r>
      <w:r w:rsidR="00F53B05">
        <w:rPr>
          <w:bCs/>
          <w:color w:val="000000"/>
        </w:rPr>
        <w:t xml:space="preserve">placówek edukacyjnych </w:t>
      </w:r>
      <w:r w:rsidR="00FB580E">
        <w:rPr>
          <w:bCs/>
          <w:color w:val="000000"/>
        </w:rPr>
        <w:t>za dwa miesiące</w:t>
      </w:r>
      <w:r w:rsidR="00F53B05">
        <w:rPr>
          <w:bCs/>
          <w:color w:val="000000"/>
        </w:rPr>
        <w:t>. Wciąż też ogromna jest skala wykluczenia cyfrowego w Polsce. Pomóż z nim walczyć.</w:t>
      </w:r>
    </w:p>
    <w:sectPr w:rsidR="002A5C94" w:rsidRPr="00701B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EFAFC" w14:textId="77777777" w:rsidR="006F77BA" w:rsidRDefault="006F77BA">
      <w:pPr>
        <w:spacing w:after="0" w:line="240" w:lineRule="auto"/>
      </w:pPr>
      <w:r>
        <w:separator/>
      </w:r>
    </w:p>
  </w:endnote>
  <w:endnote w:type="continuationSeparator" w:id="0">
    <w:p w14:paraId="34D49734" w14:textId="77777777" w:rsidR="006F77BA" w:rsidRDefault="006F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7155" w14:textId="77777777" w:rsidR="006F77BA" w:rsidRDefault="006F77BA">
      <w:pPr>
        <w:spacing w:after="0" w:line="240" w:lineRule="auto"/>
      </w:pPr>
      <w:r>
        <w:separator/>
      </w:r>
    </w:p>
  </w:footnote>
  <w:footnote w:type="continuationSeparator" w:id="0">
    <w:p w14:paraId="246BEA60" w14:textId="77777777" w:rsidR="006F77BA" w:rsidRDefault="006F77BA">
      <w:pPr>
        <w:spacing w:after="0" w:line="240" w:lineRule="auto"/>
      </w:pPr>
      <w:r>
        <w:continuationSeparator/>
      </w:r>
    </w:p>
  </w:footnote>
  <w:footnote w:id="1">
    <w:p w14:paraId="7A05EC15" w14:textId="5F08202A" w:rsidR="00E112F5" w:rsidRDefault="00E112F5">
      <w:pPr>
        <w:pStyle w:val="Tekstprzypisudolnego"/>
      </w:pPr>
      <w:r w:rsidRPr="00744C13">
        <w:rPr>
          <w:rStyle w:val="Odwoanieprzypisudolnego"/>
        </w:rPr>
        <w:footnoteRef/>
      </w:r>
      <w:r w:rsidRPr="00744C13">
        <w:t xml:space="preserve"> GUS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9D"/>
    <w:rsid w:val="000E73BE"/>
    <w:rsid w:val="00146AFB"/>
    <w:rsid w:val="001D0BBF"/>
    <w:rsid w:val="001E0BFC"/>
    <w:rsid w:val="001E3F90"/>
    <w:rsid w:val="002455DF"/>
    <w:rsid w:val="00255DFD"/>
    <w:rsid w:val="00273DDF"/>
    <w:rsid w:val="002A5C94"/>
    <w:rsid w:val="00347319"/>
    <w:rsid w:val="003C41ED"/>
    <w:rsid w:val="00496330"/>
    <w:rsid w:val="004D5D6C"/>
    <w:rsid w:val="005355C2"/>
    <w:rsid w:val="0058246D"/>
    <w:rsid w:val="005D15D9"/>
    <w:rsid w:val="0066161A"/>
    <w:rsid w:val="006649AD"/>
    <w:rsid w:val="006E5E6A"/>
    <w:rsid w:val="006F77BA"/>
    <w:rsid w:val="00701B29"/>
    <w:rsid w:val="00744C13"/>
    <w:rsid w:val="007E2B04"/>
    <w:rsid w:val="008072C0"/>
    <w:rsid w:val="00890A9D"/>
    <w:rsid w:val="008F502B"/>
    <w:rsid w:val="009605C8"/>
    <w:rsid w:val="009F722A"/>
    <w:rsid w:val="00A038A2"/>
    <w:rsid w:val="00A42AF1"/>
    <w:rsid w:val="00A7418D"/>
    <w:rsid w:val="00AF2752"/>
    <w:rsid w:val="00B1005A"/>
    <w:rsid w:val="00B30E00"/>
    <w:rsid w:val="00B5287C"/>
    <w:rsid w:val="00B65420"/>
    <w:rsid w:val="00C13E0A"/>
    <w:rsid w:val="00C202BC"/>
    <w:rsid w:val="00C63B32"/>
    <w:rsid w:val="00C80B8E"/>
    <w:rsid w:val="00C8301A"/>
    <w:rsid w:val="00D13B54"/>
    <w:rsid w:val="00D23BCA"/>
    <w:rsid w:val="00D45EDB"/>
    <w:rsid w:val="00DC5DDB"/>
    <w:rsid w:val="00E112F5"/>
    <w:rsid w:val="00EA2679"/>
    <w:rsid w:val="00F53B05"/>
    <w:rsid w:val="00FB580E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2AE"/>
  <w15:docId w15:val="{CFE422B3-1A0D-4C40-9689-192939B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4F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53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4Znak">
    <w:name w:val="Nagłówek 4 Znak"/>
    <w:basedOn w:val="Domylnaczcionkaakapitu"/>
    <w:link w:val="Nagwek4"/>
    <w:uiPriority w:val="9"/>
    <w:rsid w:val="00C53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29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F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F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F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26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68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E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E6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0E73B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2BC"/>
    <w:rPr>
      <w:vertAlign w:val="superscript"/>
    </w:rPr>
  </w:style>
  <w:style w:type="character" w:customStyle="1" w:styleId="normaltextrun">
    <w:name w:val="normaltextrun"/>
    <w:basedOn w:val="Domylnaczcionkaakapitu"/>
    <w:rsid w:val="0053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rzutka.pl/z/bmf9k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umcyfrowe.pl/czytelnia/wplyw-wykluczenia-cyfrowego-na-edukacje-zdalna-w-polsce-nasza-anali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rzutka.pl/z/bmf9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jzekomp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gOZmRCEjX/Pqr3HBJcNIYKEvQ==">AMUW2mVWHNgXxzaIDlrUj2TSOjyk9YojrXvSVGhDE2B5DUEv2HppZfnmD+z4QWiwml4Eawf0JNxis4TVNCmhFvItnvOuvmyHx4r8PKkjW2hZ50yHlQ1ndUUUT7Ts1xxw7AcPJxXqiGBcWVdCMkYjMXrH/WqK6NqxhD3p6DBynkElMSwxxtAt6N5qzVPfgp4SDQFfjqCQNjEoVPSMvGMXQIKeA+qN71ipvu7o3Zez5M3VmDDP0xJlfgaPxb502U0E+PL0P1bnDfia</go:docsCustomData>
</go:gDocsCustomXmlDataStorage>
</file>

<file path=customXml/itemProps1.xml><?xml version="1.0" encoding="utf-8"?>
<ds:datastoreItem xmlns:ds="http://schemas.openxmlformats.org/officeDocument/2006/customXml" ds:itemID="{87117219-1EEF-4E49-9804-F2FDAD1B3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Andara</dc:creator>
  <cp:lastModifiedBy>ASUS</cp:lastModifiedBy>
  <cp:revision>2</cp:revision>
  <dcterms:created xsi:type="dcterms:W3CDTF">2020-06-22T06:49:00Z</dcterms:created>
  <dcterms:modified xsi:type="dcterms:W3CDTF">2020-06-22T06:49:00Z</dcterms:modified>
</cp:coreProperties>
</file>